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DISTRICT OF COLUMBIA</w:t>
      </w:r>
      <w:r w:rsidDel="00000000" w:rsidR="00000000" w:rsidRPr="00000000">
        <w:rPr>
          <w:rtl w:val="0"/>
        </w:rPr>
      </w:r>
    </w:p>
    <w:p w:rsidR="00000000" w:rsidDel="00000000" w:rsidP="00000000" w:rsidRDefault="00000000" w:rsidRPr="00000000" w14:paraId="00000199">
      <w:pPr>
        <w:widowControl w:val="0"/>
        <w:spacing w:before="225" w:line="228" w:lineRule="auto"/>
        <w:ind w:left="30" w:right="428" w:hanging="3.99999999999999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(D.C. Code Ann. § 25-110). </w:t>
      </w:r>
    </w:p>
    <w:p w:rsidR="00000000" w:rsidDel="00000000" w:rsidP="00000000" w:rsidRDefault="00000000" w:rsidRPr="00000000" w14:paraId="0000019A">
      <w:pPr>
        <w:widowControl w:val="0"/>
        <w:spacing w:before="230" w:line="228" w:lineRule="auto"/>
        <w:ind w:left="16" w:right="3" w:firstLine="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as long as the shipper has a common carrier’s license. Product sold cannot exceed one case per location in any one calendar month for delivery to any one person (D.C. Code Ann. § 25-772).</w:t>
      </w:r>
    </w:p>
    <w:p w:rsidR="00000000" w:rsidDel="00000000" w:rsidP="00000000" w:rsidRDefault="00000000" w:rsidRPr="00000000" w14:paraId="0000019B">
      <w:pPr>
        <w:widowControl w:val="0"/>
        <w:spacing w:before="235" w:line="228" w:lineRule="auto"/>
        <w:ind w:left="16" w:right="3"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with a manufacturer’s license. Product sold cannot exceed one case per location in any one calendar month for delivery to any one person (D.C. Code Ann. § 25-110; § 25-772).</w:t>
      </w:r>
    </w:p>
    <w:p w:rsidR="00000000" w:rsidDel="00000000" w:rsidP="00000000" w:rsidRDefault="00000000" w:rsidRPr="00000000" w14:paraId="0000019C">
      <w:pPr>
        <w:widowControl w:val="0"/>
        <w:spacing w:before="235" w:line="228" w:lineRule="auto"/>
        <w:ind w:left="14" w:right="4"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Distillery pubs can provide </w:t>
      </w:r>
      <w:r w:rsidDel="00000000" w:rsidR="00000000" w:rsidRPr="00000000">
        <w:rPr>
          <w:rFonts w:ascii="Calibri" w:cs="Calibri" w:eastAsia="Calibri" w:hAnsi="Calibri"/>
          <w:rtl w:val="0"/>
        </w:rPr>
        <w:t xml:space="preserve">carry-out and delivery services </w:t>
      </w:r>
      <w:r w:rsidDel="00000000" w:rsidR="00000000" w:rsidRPr="00000000">
        <w:rPr>
          <w:rFonts w:ascii="Calibri" w:cs="Calibri" w:eastAsia="Calibri" w:hAnsi="Calibri"/>
          <w:rtl w:val="0"/>
        </w:rPr>
        <w:t xml:space="preserve">if they register first with ABRA. Carry-out and delivery orders must be accompanied by one or more prepared food items.Distillery pubs may partner with third party vendors to deliver alcoholic beverages. This pilot program was made permanent effective October 1, 2020.</w:t>
      </w:r>
    </w:p>
    <w:p w:rsidR="00000000" w:rsidDel="00000000" w:rsidP="00000000" w:rsidRDefault="00000000" w:rsidRPr="00000000" w14:paraId="0000019D">
      <w:pPr>
        <w:widowControl w:val="0"/>
        <w:spacing w:before="4" w:line="240" w:lineRule="auto"/>
        <w:ind w:left="19" w:firstLine="0"/>
        <w:rPr>
          <w:rFonts w:ascii="Calibri" w:cs="Calibri" w:eastAsia="Calibri" w:hAnsi="Calibri"/>
          <w:color w:val="1155cc"/>
        </w:rPr>
      </w:pPr>
      <w:r w:rsidDel="00000000" w:rsidR="00000000" w:rsidRPr="00000000">
        <w:rPr>
          <w:rFonts w:ascii="Calibri" w:cs="Calibri" w:eastAsia="Calibri" w:hAnsi="Calibri"/>
          <w:b w:val="1"/>
          <w:rtl w:val="0"/>
        </w:rPr>
        <w:t xml:space="preserve">ABC-Licensed Beer, Wine and Spirits Carry-Out and Delivery FAQ 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https://abra.dc.gov/page/abc-licensed-beer-wine-and-spirits-carry-out-and-delivery-faq</w:t>
        </w:r>
      </w:hyperlink>
      <w:r w:rsidDel="00000000" w:rsidR="00000000" w:rsidRPr="00000000">
        <w:rPr>
          <w:rtl w:val="0"/>
        </w:rPr>
      </w:r>
    </w:p>
    <w:p w:rsidR="00000000" w:rsidDel="00000000" w:rsidP="00000000" w:rsidRDefault="00000000" w:rsidRPr="00000000" w14:paraId="0000019E">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Fiscal Year 2021 Budget Support Act of 2020 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https://code.dccouncil.us/dc/council/laws/23-149.html</w:t>
        </w:r>
      </w:hyperlink>
      <w:r w:rsidDel="00000000" w:rsidR="00000000" w:rsidRPr="00000000">
        <w:rPr>
          <w:rtl w:val="0"/>
        </w:rPr>
      </w:r>
    </w:p>
    <w:p w:rsidR="00000000" w:rsidDel="00000000" w:rsidP="00000000" w:rsidRDefault="00000000" w:rsidRPr="00000000" w14:paraId="0000019F">
      <w:pPr>
        <w:widowControl w:val="0"/>
        <w:spacing w:before="220"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0">
      <w:pPr>
        <w:widowControl w:val="0"/>
        <w:spacing w:before="225" w:line="240" w:lineRule="auto"/>
        <w:ind w:left="17"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District of Columbia Code </w:t>
      </w:r>
    </w:p>
    <w:p w:rsidR="00000000" w:rsidDel="00000000" w:rsidP="00000000" w:rsidRDefault="00000000" w:rsidRPr="00000000" w14:paraId="000001A1">
      <w:pPr>
        <w:widowControl w:val="0"/>
        <w:spacing w:before="225" w:lin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D.C. Code Ann. § 25-110. Manufacturer’s licenses.</w:t>
      </w:r>
    </w:p>
    <w:p w:rsidR="00000000" w:rsidDel="00000000" w:rsidP="00000000" w:rsidRDefault="00000000" w:rsidRPr="00000000" w14:paraId="000001A2">
      <w:pPr>
        <w:widowControl w:val="0"/>
        <w:spacing w:line="228" w:lineRule="auto"/>
        <w:ind w:left="15" w:right="5" w:firstLine="7.999999999999998"/>
        <w:jc w:val="both"/>
        <w:rPr>
          <w:rFonts w:ascii="Calibri" w:cs="Calibri" w:eastAsia="Calibri" w:hAnsi="Calibri"/>
        </w:rPr>
      </w:pPr>
      <w:r w:rsidDel="00000000" w:rsidR="00000000" w:rsidRPr="00000000">
        <w:rPr>
          <w:rFonts w:ascii="Calibri" w:cs="Calibri" w:eastAsia="Calibri" w:hAnsi="Calibri"/>
          <w:rtl w:val="0"/>
        </w:rPr>
        <w:t xml:space="preserve">(ii) Sell and deliver the products manufactured under the license from the licensed establishment to another licensee under this title for resale or to a dealer licensed under the law of any state or territory of the United States for resale or to a consumer. Except as provided in § 25-126, the licensee may sell and deliver wine and spirits to the consumer only in barrels, cans, kegs, and sealed bottles, which shall not be opened after sale or the contents consumed on the premises where sold.</w:t>
      </w:r>
    </w:p>
    <w:p w:rsidR="00000000" w:rsidDel="00000000" w:rsidP="00000000" w:rsidRDefault="00000000" w:rsidRPr="00000000" w14:paraId="000001A3">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https://code.dccouncil.us/dc/council/code/sections/25-110.html</w:t>
        </w:r>
      </w:hyperlink>
      <w:r w:rsidDel="00000000" w:rsidR="00000000" w:rsidRPr="00000000">
        <w:rPr>
          <w:rtl w:val="0"/>
        </w:rPr>
      </w:r>
    </w:p>
    <w:p w:rsidR="00000000" w:rsidDel="00000000" w:rsidP="00000000" w:rsidRDefault="00000000" w:rsidRPr="00000000" w14:paraId="000001A4">
      <w:pPr>
        <w:widowControl w:val="0"/>
        <w:spacing w:before="220" w:lin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D.C. Code Ann. § 25-772. Unlawful importation of beverages.</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Only a licensee under a manufacturer’s, wholesaler’s, or common carrier’s license, or retailer’s license under a validly issued import permit shall transport, import, bring, or ship or cause to be transported, imported, brought, or shipped into the District from outside the District any wines, spirits, or beer in a quantity in excess of one case at any one time.</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This section shall not apply to persons possessing old stocks who are moving into the District, to embassies or diplomatic representatives of foreign countries, to wines imported for religious or sacramental purposes, to wine, spirits, and beer to be delivered to the licensee under a manufacturer’s, wholesaler’s, or retailer’s license, or to any persons wishing to have liquor chocolates delivered to their residence. The term “liquor chocolates” may include other types of candies that have small amounts of liquor contained in the candy.</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The penalty of violation of this section shall consist of (1) the forfeiture of the beverages transported, imported, brought, or shipped, or caused to be transported, imported, brought, or shipped in violation of this section, and (2) a fine of not more than the amount set forth in [§ 22-3571.01] or imprisonment for not more than 6 months.</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In addition to other penalties provided in this section, any person who violates the provisions of this section shall be liable for any tax, penalties, and interest provided for in this title.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https://code.dccouncil.us/dc/council/code/sections/25-772.html</w:t>
        </w:r>
      </w:hyperlink>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widowControl w:val="0"/>
        <w:spacing w:line="228" w:lineRule="auto"/>
        <w:ind w:left="14" w:right="4" w:firstLine="8.000000000000004"/>
        <w:rPr>
          <w:rFonts w:ascii="Calibri" w:cs="Calibri" w:eastAsia="Calibri" w:hAnsi="Calibri"/>
          <w:b w:val="1"/>
          <w:u w:val="single"/>
        </w:rPr>
      </w:pPr>
      <w:r w:rsidDel="00000000" w:rsidR="00000000" w:rsidRPr="00000000">
        <w:rPr>
          <w:rFonts w:ascii="Calibri" w:cs="Calibri" w:eastAsia="Calibri" w:hAnsi="Calibri"/>
          <w:rtl w:val="0"/>
        </w:rPr>
        <w:t xml:space="preserve"> </w:t>
      </w: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D">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A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6F4A48"/>
    <w:pPr>
      <w:tabs>
        <w:tab w:val="center" w:pos="4680"/>
        <w:tab w:val="right" w:pos="9360"/>
      </w:tabs>
      <w:spacing w:line="240" w:lineRule="auto"/>
    </w:pPr>
  </w:style>
  <w:style w:type="character" w:styleId="HeaderChar" w:customStyle="1">
    <w:name w:val="Header Char"/>
    <w:basedOn w:val="DefaultParagraphFont"/>
    <w:link w:val="Header"/>
    <w:uiPriority w:val="99"/>
    <w:rsid w:val="006F4A48"/>
  </w:style>
  <w:style w:type="paragraph" w:styleId="Footer">
    <w:name w:val="footer"/>
    <w:basedOn w:val="Normal"/>
    <w:link w:val="FooterChar"/>
    <w:uiPriority w:val="99"/>
    <w:unhideWhenUsed w:val="1"/>
    <w:rsid w:val="006F4A48"/>
    <w:pPr>
      <w:tabs>
        <w:tab w:val="center" w:pos="4680"/>
        <w:tab w:val="right" w:pos="9360"/>
      </w:tabs>
      <w:spacing w:line="240" w:lineRule="auto"/>
    </w:pPr>
  </w:style>
  <w:style w:type="character" w:styleId="FooterChar" w:customStyle="1">
    <w:name w:val="Footer Char"/>
    <w:basedOn w:val="DefaultParagraphFont"/>
    <w:link w:val="Footer"/>
    <w:uiPriority w:val="99"/>
    <w:rsid w:val="006F4A48"/>
  </w:style>
  <w:style w:type="character" w:styleId="Hyperlink">
    <w:name w:val="Hyperlink"/>
    <w:basedOn w:val="DefaultParagraphFont"/>
    <w:uiPriority w:val="99"/>
    <w:unhideWhenUsed w:val="1"/>
    <w:rsid w:val="00850BD2"/>
    <w:rPr>
      <w:color w:val="0000ff" w:themeColor="hyperlink"/>
      <w:u w:val="single"/>
    </w:rPr>
  </w:style>
  <w:style w:type="character" w:styleId="UnresolvedMention">
    <w:name w:val="Unresolved Mention"/>
    <w:basedOn w:val="DefaultParagraphFont"/>
    <w:uiPriority w:val="99"/>
    <w:semiHidden w:val="1"/>
    <w:unhideWhenUsed w:val="1"/>
    <w:rsid w:val="00850BD2"/>
    <w:rPr>
      <w:color w:val="605e5c"/>
      <w:shd w:color="auto" w:fill="e1dfdd" w:val="clear"/>
    </w:rPr>
  </w:style>
  <w:style w:type="paragraph" w:styleId="NoSpacing">
    <w:name w:val="No Spacing"/>
    <w:uiPriority w:val="1"/>
    <w:qFormat w:val="1"/>
    <w:rsid w:val="00087BD1"/>
    <w:pPr>
      <w:spacing w:line="240" w:lineRule="auto"/>
    </w:pPr>
  </w:style>
  <w:style w:type="character" w:styleId="FollowedHyperlink">
    <w:name w:val="FollowedHyperlink"/>
    <w:basedOn w:val="DefaultParagraphFont"/>
    <w:uiPriority w:val="99"/>
    <w:semiHidden w:val="1"/>
    <w:unhideWhenUsed w:val="1"/>
    <w:rsid w:val="00042905"/>
    <w:rPr>
      <w:color w:val="800080" w:themeColor="followedHyperlink"/>
      <w:u w:val="single"/>
    </w:rPr>
  </w:style>
  <w:style w:type="character" w:styleId="CommentReference">
    <w:name w:val="annotation reference"/>
    <w:basedOn w:val="DefaultParagraphFont"/>
    <w:uiPriority w:val="99"/>
    <w:semiHidden w:val="1"/>
    <w:unhideWhenUsed w:val="1"/>
    <w:rsid w:val="0082142B"/>
    <w:rPr>
      <w:sz w:val="16"/>
      <w:szCs w:val="16"/>
    </w:rPr>
  </w:style>
  <w:style w:type="paragraph" w:styleId="CommentText">
    <w:name w:val="annotation text"/>
    <w:basedOn w:val="Normal"/>
    <w:link w:val="CommentTextChar"/>
    <w:uiPriority w:val="99"/>
    <w:semiHidden w:val="1"/>
    <w:unhideWhenUsed w:val="1"/>
    <w:rsid w:val="0082142B"/>
    <w:pPr>
      <w:spacing w:line="240" w:lineRule="auto"/>
    </w:pPr>
    <w:rPr>
      <w:sz w:val="20"/>
      <w:szCs w:val="20"/>
    </w:rPr>
  </w:style>
  <w:style w:type="character" w:styleId="CommentTextChar" w:customStyle="1">
    <w:name w:val="Comment Text Char"/>
    <w:basedOn w:val="DefaultParagraphFont"/>
    <w:link w:val="CommentText"/>
    <w:uiPriority w:val="99"/>
    <w:semiHidden w:val="1"/>
    <w:rsid w:val="0082142B"/>
    <w:rPr>
      <w:sz w:val="20"/>
      <w:szCs w:val="20"/>
    </w:rPr>
  </w:style>
  <w:style w:type="paragraph" w:styleId="CommentSubject">
    <w:name w:val="annotation subject"/>
    <w:basedOn w:val="CommentText"/>
    <w:next w:val="CommentText"/>
    <w:link w:val="CommentSubjectChar"/>
    <w:uiPriority w:val="99"/>
    <w:semiHidden w:val="1"/>
    <w:unhideWhenUsed w:val="1"/>
    <w:rsid w:val="0082142B"/>
    <w:rPr>
      <w:b w:val="1"/>
      <w:bCs w:val="1"/>
    </w:rPr>
  </w:style>
  <w:style w:type="character" w:styleId="CommentSubjectChar" w:customStyle="1">
    <w:name w:val="Comment Subject Char"/>
    <w:basedOn w:val="CommentTextChar"/>
    <w:link w:val="CommentSubject"/>
    <w:uiPriority w:val="99"/>
    <w:semiHidden w:val="1"/>
    <w:rsid w:val="0082142B"/>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bra.dc.gov/page/abc-licensed-beer-wine-and-spirits-carry-out-and-delivery-faq" TargetMode="External"/><Relationship Id="rId10" Type="http://schemas.openxmlformats.org/officeDocument/2006/relationships/footer" Target="footer1.xml"/><Relationship Id="rId13" Type="http://schemas.openxmlformats.org/officeDocument/2006/relationships/hyperlink" Target="https://code.dccouncil.us/dc/council/code/sections/25-110.html" TargetMode="External"/><Relationship Id="rId12" Type="http://schemas.openxmlformats.org/officeDocument/2006/relationships/hyperlink" Target="https://code.dccouncil.us/dc/council/laws/23-149.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code.dccouncil.us/dc/council/code/sections/25-772.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gCxQixCwgb0aEInycm884KlqTg==">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2021-07-13T14:33:00Z</dcterms:created>
</cp:coreProperties>
</file>